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ind w:left="5103"/>
      </w:pPr>
      <w:r>
        <w:t xml:space="preserve">Работнику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/>
    <w:p>
      <w:pPr>
        <w:jc w:val="center"/>
      </w:pPr>
      <w:r>
        <w:rPr>
          <w:b/>
        </w:rPr>
        <w:t xml:space="preserve">УВЕДОМЛЕНИЕ</w:t>
        <w:br/>
        <w:t xml:space="preserve">о готовности выплатить задержанную заработную плату</w:t>
      </w:r>
    </w:p>
    <w:p/>
    <w:p>
      <w:pPr>
        <w:ind w:firstLine="709"/>
        <w:jc w:val="both"/>
      </w:pPr>
      <w:r>
        <w:t xml:space="preserve">Сообщаем, что задержанная заработная плата за ____________ 20___ г. в сумме ____________ руб. будет выплачена Вам в день выхода на работу. Просим приступить к работе не позднее следующего рабочего дня после получения настоящего уведомления (пункт 4 статьи 142 Трудового кодекса Приднестровской Молдавской Республики).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Уведомление получил(а):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